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384. “留守娃的心愿”——农村留守儿童关爱服务需求研究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研究对象：留守儿童（8—15岁）及其照护人（祖辈/教师）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核心问题/变量：情感陪伴缺口、学习支持、电子产品依赖、心理健康、节假日父母团聚、关爱服务评价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H1：情感陪伴缺口、学习支持（关爱服务评价）之间存在可检验的关系，且受群体差异（年龄/收入/地区/身份）调节（待验证）；H2：情感陪伴缺口、学习支持是影响关爱服务评价的关键因素（待验证）。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🔶留守儿童规模（民政部数据需核验）；✅《未成年人保护法》与留守儿童关爱保护政策（国务院）；✅农村教育质量提升背景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农村学校/村儿童之家渠道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🔶留守儿童规模（民政部数据需核验）；✅《未成年人保护法》与留守儿童关爱保护政策（国务院）；✅农村教育质量提升背景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