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386. “城市书房，书香一隅”——城市书房、24小时公共阅读空间使用需求研究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研究对象：常去城市书房/图书馆/24小时书店的市民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核心问题/变量：使用场景（自习/借阅/休闲）、开放时段需求、设施满意度、借阅与购书、空间打卡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自习/借阅/休闲）、开放时段需求（空间打卡）之间存在可检验的关系，且受群体差异（年龄/收入/地区/身份）调节（待验证）；H2：使用场景（自习/借阅/休闲）、开放时段需求是影响空间打卡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✅全民阅读推广（中宣部政策背景）；🔶城市书房建设数量（文旅部门数据需核验）；✅公共文化服务均等化政策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城市书房现场问卷；与151题（自习室）区分：聚焦公共阅读空间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✅全民阅读推广（中宣部政策背景）；🔶城市书房建设数量（文旅部门数据需核验）；✅公共文化服务均等化政策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