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509. “老幼共托，一老一小”——‘一老一小’融合托育养老模式接受度研究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研究对象：家有老人与幼儿的双职工家庭、养老/托育机构从业者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核心问题/变量：老幼共托（养老+托育同空间）认知与接受度、代际互动价值感知、安全保障顾虑、付费意愿、对社区公共服务布局期待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幼共托（养老+托育同空间）认知与接受度、代际互动价值感知（对社区公共服务布局期待）之间存在可检验的关系，且受群体差异（年龄/收入/地区/身份）调节（待验证）；H2：老幼共托（养老+托育同空间）认知与接受度、代际互动价值感知是影响对社区公共服务布局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✅“一老一小”服务政策（国务院、民政/卫健文件）；🔶老幼共托试点案例（权威媒体，须下载核验）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试点机构/社区问卷+从业者访谈；与506（共享奶奶）区分：聚焦机构化“一老一小”融合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✅“一老一小”服务政策（国务院、民政/卫健文件）；🔶老幼共托试点案例（权威媒体，须下载核验）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