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609. “儿童安全座椅，立法后的使用”——儿童安全座椅强制规定执行情况研究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研究对象：有12岁以下儿童的车主家庭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核心问题/变量：安全座椅强制规定知晓度、实际使用率、安装使用困难、价格与购买渠道、执法感知、替代（安全带/怀抱）观念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安全座椅强制规定知晓度、实际使用率（替代（安全带/怀抱）观念）之间存在可检验的关系，且受群体差异（年龄/收入/地区/身份）调节（待验证）；H2：安全座椅强制规定知晓度、实际使用率是影响替代（安全带/怀抱）观念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✅儿童安全座椅纳入相关法律（全国人大、道交法修订）；🔶使用率调查数据（须下载核验）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学校/幼儿园家长渠道问卷；获奖黑名单核对：近三年无安全座椅获奖题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✅儿童安全座椅纳入相关法律（全国人大、道交法修订）；🔶使用率调查数据（须下载核验）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