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691. “地铁早高峰，拥挤怎么办”——城市轨道交通高峰拥挤与运营服务研究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研究对象：地铁通勤乘客（一线城市）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核心问题/变量：高峰拥挤体验强度、限流措施接受、出行调整（错峰/改线）、拥挤度信息需求、票价与服务评价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高峰拥挤体验强度、限流措施接受（票价与服务评价）之间存在可检验的关系，且受群体差异（年龄/收入/地区/身份）调节（待验证）；H2：高峰拥挤体验强度、限流措施接受是影响票价与服务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✅城市轨道交通运营规范（交通运输部）；🔶地铁客流数据（城市轨交协会须下载核验）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地铁乘客问卷+运营方访谈；获奖黑名单核对：近三年无地铁拥挤获奖题（区别于485朋友圈等媒体题）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✅城市轨道交通运营规范（交通运输部）；🔶地铁客流数据（城市轨交协会须下载核验）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