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750. “小区停车难，改造解困”——老旧小区停车改造与治理研究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研究对象：老旧小区有车居民及业委会/物业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核心问题/变量：停车难程度、改造模式（立体车库/潮汐共享/收费）、车位费接受、邻里纠纷、改造满意度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停车难程度、改造模式（立体车库/潮汐共享/收费）（改造满意度）之间存在可检验的关系，且受群体差异（年龄/收入/地区/身份）调节（待验证）；H2：停车难程度、改造模式（立体车库/潮汐共享/收费）是影响改造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🔶老旧小区停车改造政策（住建部）；🔶停车治理案例（须下载核验）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老旧小区问卷+街道访谈；获奖黑名单核对：近三年无小区停车获奖题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🔶老旧小区停车改造政策（住建部）；🔶停车治理案例（须下载核验）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