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757. “城市骑行道，慢行优先”——城市慢行系统（骑行道、步行道）建设满意度研究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研究对象：日常骑行/步行的城市居民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核心问题/变量：慢行系统使用（通勤/休闲）、骑行道连续性与安全、与机动车冲突、步行友好度、绿道连接、建设满意度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慢行系统使用（通勤/休闲）、骑行道连续性与安全（建设满意度）之间存在可检验的关系，且受群体差异（年龄/收入/地区/身份）调节（待验证）；H2：慢行系统使用（通勤/休闲）、骑行道连续性与安全是影响建设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✅城市慢行系统规划政策（住建部）；🔶骑行道建设数据（须下载核验）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居民问卷+市政部门访谈；获奖黑名单核对：近三年无慢行系统获奖题（区别于694骑行通勤）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✅城市慢行系统规划政策（住建部）；🔶骑行道建设数据（须下载核验）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