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799. “AED地图，救命导航”——AED电子地图（定位导航）使用与急救响应研究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研究对象：红十字会急救培训学员、公共场所工作人员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核心问题/变量：AED地图（小程序/导航）知晓与使用、AED定位准确性、急救响应链条（找到-使用-送医）、培训覆盖、改进期待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ED地图（小程序/导航）知晓与使用、AED定位准确性（改进期待）之间存在可检验的关系，且受群体差异（年龄/收入/地区/身份）调节（待验证）；H2：AED地图（小程序/导航）知晓与使用、AED定位准确性是影响改进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🔶AED地图上线报道（央媒须下载核验）；✅院前急救与AED普及政策（卫健委）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急救培训渠道问卷+红会访谈；获奖黑名单核对：近三年无AED地图获奖题（区别于649 AED配置）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🔶AED地图上线报道（央媒须下载核验）；✅院前急救与AED普及政策（卫健委）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