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829. “文明养犬，城市共治”——城市养犬管理（办证、遛狗绳、粪便）居民参与研究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研究对象：养犬家庭、非养犬居民、社区管理方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核心问题/变量：犬证办理率、遛狗规范（牵绳/清理）执行、犬只伤人纠纷、社区公示与邻里矛盾、管理满意度、人犬矛盾治理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犬证办理率、遛狗规范（牵绳/清理）执行（人犬矛盾治理）之间存在可检验的关系，且受群体差异（年龄/收入/地区/身份）调节（待验证）；H2：犬证办理率、遛狗规范（牵绳/清理）执行是影响人犬矛盾治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🔶城市养犬管理条例（地方条例）；🔶犬只管理投诉数据（政务平台须下载核验）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社区问卷+城管/业委会访谈；获奖黑名单核对：近三年无文明养犬获奖题（区别于427宠物友好泛题）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🔶城市养犬管理条例（地方条例）；🔶犬只管理投诉数据（政务平台须下载核验）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