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865. “社区流浪猫屋，共治样本”——社区流浪猫救助站（猫屋、喂养点）运营研究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研究对象：社区流浪猫救助站志愿者、居委会、居民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核心问题/变量：猫屋建设与投喂管理、经费（众筹/公益）、邻里分歧（卫生/噪声）、绝育放归配合、社区共治模式、成效评估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猫屋建设与投喂管理、经费（众筹/公益）（成效评估）之间存在可检验的关系，且受群体差异（年龄/收入/地区/身份）调节（待验证）；H2：猫屋建设与投喂管理、经费（众筹/公益）是影响成效评估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🔶社区猫屋实践报道（动物保护媒体须下载核验）；✅动物防疫法流浪动物条款（农业农村部）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志愿者社群问卷+社区访谈；获奖黑名单核对：近三年无流浪猫救助站获奖题（区别于830 TNR）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🔶社区猫屋实践报道（动物保护媒体须下载核验）；✅动物防疫法流浪动物条款（农业农村部）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