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888. “残疾人就业，政策帮扶”——残疾人就业（辅助性就业、居家就业）研究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确定行业：21_公共治理与社会关怀（选择理由：贴合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研究对象：残疾人求职者、残疾人就业机构、用工单位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核心问题/变量：残疾人就业渠道（按比例就业/辅助性就业）、就业率与薪资、职业技能培训、用工单位顾虑（无障碍）、政策补贴感知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残疾人就业渠道（按比例就业/辅助性就业）、就业率与薪资（政策补贴感知）之间存在可检验的关系，且受群体差异（年龄/收入/地区/身份）调节（待验证）；H2：残疾人就业渠道（按比例就业/辅助性就业）、就业率与薪资是影响政策补贴感知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✅残疾人就业条例与按比例就业政策（国务院、中国残联）；🔶残疾人就业数据（须下载核验）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残联渠道问卷+机构访谈；获奖黑名单核对：近三年无残疾人就业获奖题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✅残疾人就业条例与按比例就业政策（国务院、中国残联）；🔶残疾人就业数据（须下载核验）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