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918. “预付式消费监管，跑路必查”——预付卡（美容、健身、教培）资金监管研究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确定行业：21_公共治理与社会关怀（选择理由：贴合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研究对象：持有预付卡/储值卡的消费者、发卡企业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核心问题/变量：预付卡储值金额、跑路/退费难经历、资金存管（备案）知晓、单用途预付卡新规感知、理性储值、监管期待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预付卡储值金额、跑路/退费难经历（监管期待）之间存在可检验的关系，且受群体差异（年龄/收入/地区/身份）调节（待验证）；H2：预付卡储值金额、跑路/退费难经历是影响监管期待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🔶单用途预付卡管理办法（商务部、市场监管总局）；🔶预付卡消费投诉数据（消协须下载核验）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消费者问卷+商务部门访谈；获奖黑名单核对：近三年无预付卡监管获奖题（区别于813健身房预付费，聚焦资金监管政策）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🔶单用途预付卡管理办法（商务部、市场监管总局）；🔶预付卡消费投诉数据（消协须下载核验）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