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999. “AED进校园，生命课堂”——校园AED配置与师生急救培训研究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研究对象：配置AED的学校（师生）、教体部门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核心问题/变量：校园AED配置率、师生急救培训覆盖率、心肺复苏+AED实操能力、应急演练频次、经费与维护、教育部门推动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校园AED配置率、师生急救培训覆盖率（教育部门推动）之间存在可检验的关系，且受群体差异（年龄/收入/地区/身份）调节（待验证）；H2：校园AED配置率、师生急救培训覆盖率是影响教育部门推动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🔶校园AED配置政策（教育部、卫健委）；🔶校园急救设施数据（须下载核验）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学校问卷+红十字会/教体局访谈；获奖黑名单核对：近三年无校园AED获奖题（区别于649 AED配置泛题，聚焦校园）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🔶校园AED配置政策（教育部、卫健委）；🔶校园急救设施数据（须下载核验）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