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1101. “硬折扣超市，极致性价比”——硬折扣超市（ALDI、乐尔乐类）消费研究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研究对象：在硬折扣超市（极致低价）购物的消费者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核心问题/变量：硬折扣消费动机（低价/刚需）、自有品牌占比、购物体验（简陋装修）、与会员店/电商价格对比、复购品类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H1：硬折扣消费动机（低价/刚需）、自有品牌占比显著影响复购品类（待验证）；H2：不同人群（年龄/收入/城市等级）在上述关系中存在调节作用（待验证）。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🔶零售业创新提升政策（商务部）；🔶硬折扣市场数据（行业报告须下载核验）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硬折扣门店问卷+零售研究机构访谈；获奖黑名单核对：近三年无硬折扣超市获奖题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🔶零售业创新提升政策（商务部）；🔶硬折扣市场数据（行业报告须下载核验）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