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1103. “批零一体店，源头好物”——批发市场零售化（批零一体）消费研究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研究对象：在批发市场零售档口（批零一体）购物的散客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核心问题/变量：批零一体消费动机（源头价/可挑选）、散客与批发价差、市场环境体验、直播代购联动、复购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H1：批零一体消费动机（源头价/可挑选）、散客与批发价差显著影响复购（待验证）；H2：不同人群（年龄/收入/城市等级）在上述关系中存在调节作用（待验证）。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🔶商品市场转型升级政策（商务部）；🔶批发市场零售化案例（须下载核验）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批发市场档口问卷+市场管理方访谈；获奖黑名单核对：近三年无批零一体获奖题（区别于906批发市场改造，聚焦零售散客）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🔶商品市场转型升级政策（商务部）；🔶批发市场零售化案例（须下载核验）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