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1106. “即时零售菜场，30分钟买菜”——即时零售买菜（前置仓、菜场代买）消费研究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研究对象：使用即时零售平台买菜（30分钟送达）的城市家庭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核心问题/变量：即时买菜场景（下班急用/雨天）、平台选择（美团/叮咚/朴朴）、价格与新鲜度、配送费与会员、与传统菜场替代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H1：即时买菜场景（下班急用/雨天）、平台选择（美团/叮咚/朴朴）显著影响与传统菜场替代（待验证）；H2：不同人群（年龄/收入/城市等级）在上述关系中存在调节作用（待验证）。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🔶即时零售与城市商业政策（商务部）；🔶即时零售买菜数据（行业报告须下载核验）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买菜用户问卷+平台访谈；获奖黑名单核对：近三年无即时买菜获奖题（区别于801即时送药）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🔶即时零售与城市商业政策（商务部）；🔶即时零售买菜数据（行业报告须下载核验）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