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1109. “临期折扣2.0，大牌捡漏”——临期食品、折扣零售（大牌尾货）消费研究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研究阶段：mature（成熟期：满意度与优化研究）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确定行业：07_零售商业与消费新形态（选择理由：贴合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研究对象：购买临期/尾货折扣食品（好特卖类）的消费者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核心问题/变量：临期折扣消费动机（捡漏/环保）、品类（零食/饮料/日用）、价格折扣与保质期焦虑、货架更新、复购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H1：临期折扣消费动机（捡漏/环保）、品类（零食/饮料/日用）显著影响复购（待验证）；H2：不同人群（年龄/收入/城市等级）在上述关系中存在调节作用（待验证）。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🔶临期食品销售规范（市场监管总局）；🔶折扣零售市场数据（须下载核验）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折扣店实地问卷+供应链访谈；获奖黑名单核对：近三年无临期折扣获奖题（区别于508剩菜盲盒、585临期泛题，聚焦尾货折扣业态）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🔶临期食品销售规范（市场监管总局）；🔶折扣零售市场数据（须下载核验）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