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120. “平替生活，聪慧消费”——青年平替、质价比消费观念与行为研究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研究对象：18—35岁认同或践行"平替"消费的青年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核心问题/变量：平替领域（服饰/美妆/数码/零食）、决策逻辑（质价比/试错）、大牌认知转变、分享传播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H1：平替领域（服饰/美妆/数码/零食）、决策逻辑（质价比/试错）显著影响分享传播（待验证）；H2：不同人群（年龄/收入/城市等级）在上述关系中存在调节作用（待验证）。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🔶平替消费为消费理性化趋势的社会现象（媒体/社媒笔记量级，需引用具体数据）；✅2026中国消费零售趋势：折扣化、自有品牌崛起（第三批已核验：折扣零售2.28万亿）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小红书平替笔记用户渠道；与第三批71自有品牌互补（本研究为广义消费者端）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🔶平替消费为消费理性化趋势的社会现象（媒体/社媒笔记量级，需引用具体数据）；✅2026中国消费零售趋势：折扣化、自有品牌崛起（第三批已核验：折扣零售2.28万亿）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