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146. “自习室还能怎么活”——付费自习室业态转型（+咖啡、住宿、直播）意愿研究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研究对象：自习室经营者与高频用户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核心问题/变量：盈利痛点（近六成门店月利润&lt;3000元）、多元业态接受（自习+咖啡/自习+酒店/云自习）、付费意愿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H1：盈利痛点（近六成门店月利润&lt;3000元）、多元业态接受（自习+咖啡/自习+酒店/云自习）显著影响付费意愿（待验证）；H2：不同人群（年龄/收入/城市等级）在上述关系中存在调节作用（待验证）。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✅近六成门店单月利润不足3000元（新快报）；✅共享工位降温、自习经济火爆的替代逻辑（羊城晚报）；✅付费自习室以中小微、个体户为主（注册金&lt;500万占61%）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本地自习室经营者访谈+用户问卷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✅近六成门店单月利润不足3000元（新快报）；✅共享工位降温、自习经济火爆的替代逻辑（羊城晚报）；✅付费自习室以中小微、个体户为主（注册金&lt;500万占61%）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