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172. “社区直采，田间到餐桌”——社区生鲜产地直采（团购直供、社区菜店）消费研究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研究对象：参与过果树认养/助农认养的消费者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核心问题/变量：助农认同、认养动机、果实配送体验、价格接受、续认养意愿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H1：助农认同、认养动机（续认养意愿）之间存在可检验的关系，且受群体差异（年龄/收入/地区/身份）调节（待验证）；H2：助农认同、认养动机是影响续认养意愿的关键因素（待验证）。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✅认养农业与乡村振兴衔接政策（《加快农业农村现代化"十五五"规划》）；🔶果树认养项目案例（媒体）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助农平台/合作社渠道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✅认养农业与乡村振兴衔接政策（《加快农业农村现代化"十五五"规划》）；🔶果树认养项目案例（媒体）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