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221. “以修代换，维修经济”——电子产品维修、延保、自助维修消费意愿研究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研究对象：维修过手机/家电/笔记本电脑的消费者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核心问题/变量：维修vs换新决策、维修价格感知、维修店信任、"维修权"认同、延保购买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H1：维修vs换新决策、维修价格感知显著影响延保购买（待验证）；H2：不同人群（年龄/收入/城市等级）在上述关系中存在调节作用（待验证）。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🔶维修经济/延长保修市场（行业报告需核验）；✅欧盟"维修权"立法背景（国际趋势）；✅以旧换新政策（第三批61题）与维修互补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维修店/数码社群渠道；与28题（二手）区分：聚焦维修服务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🔶维修经济/延长保修市场（行业报告需核验）；✅欧盟"维修权"立法背景（国际趋势）；✅以旧换新政策（第三批61题）与维修互补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