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229. “老字号，新国潮”——老字号品牌复兴与国潮消费行为研究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研究对象：购买过老字号新品（联名/国潮款）的 18—40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核心问题/变量：老字号认知、购买动机（情怀/品质/国潮）、联名款接受、品牌焕新评价、复购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H1：老字号认知、购买动机（情怀/品质/国潮）显著影响复购（待验证）；H2：不同人群（年龄/收入/城市等级）在上述关系中存在调节作用（待验证）。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🔶老字号市场规模与政策（商务部"老字号创新"政策背景）；✅国潮消费趋势（第五轮三坑国风数据呼应）；✅商务部等促进老字号创新发展意见（🔶文号待核）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老字号门店/电商旗舰店渠道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🔶老字号市场规模与政策（商务部"老字号创新"政策背景）；✅国潮消费趋势（第五轮三坑国风数据呼应）；✅商务部等促进老字号创新发展意见（🔶文号待核）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