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250. “直播购物，信任危机”——直播电商消费信任与退货维权研究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研究对象：有直播购物经历（含踩雷/退货）的消费者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核心问题/变量：信任因素（主播/口碑/价格）、踩雷经历（货不对板/虚假宣传）、退货率、维权行为、平台改进诉求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H1：信任因素（主播/口碑/价格）、踩雷经历（货不对板/虚假宣传）显著影响平台改进诉求（待验证）；H2：不同人群（年龄/收入/城市等级）在上述关系中存在调节作用（待验证）。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✅直播电商2025年破6万亿元（+20%）、渗透率58.7%（行业🔶）；🔶直播电商投诉热点（中消协报告需下载）；✅《直播电商监督管理办法》（2026年施行，私域直播纳入监管）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直播购物社群+电商投诉平台数据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✅直播电商2025年破6万亿元（+20%）、渗透率58.7%（行业🔶）；🔶直播电商投诉热点（中消协报告需下载）；✅《直播电商监督管理办法》（2026年施行，私域直播纳入监管）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