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292. “智慧商圈，数字逛街”——智慧商圈、数字街区消费体验研究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建议地区：北京（可按省/市细化抽样框）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研究对象：逛过智慧商圈（AR导航/无人店/数字大屏）的消费者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核心问题/变量：智慧设施体验、线上引流到店、支付便捷、数据隐私顾虑、消费带动感知、满意度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H1：智慧设施体验、线上引流到店显著影响满意度（待验证）；H2：不同人群（年龄/收入/城市等级）在上述关系中存在调节作用（待验证）。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🔶智慧商圈试点（商务部政策背景）；✅即时零售/本地生活数字化（第三批已核验）；✅AI应用消费扩容（新华网）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智慧商圈试点（北京/上海/杭州）现场问卷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🔶智慧商圈试点（商务部政策背景）；✅即时零售/本地生活数字化（第三批已核验）；✅AI应用消费扩容（新华网）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