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356. “智慧菜场，烟火气+科技感”——菜市场升级改造（智慧菜场、网红菜场）消费体验研究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研究对象：去智慧菜场/改造后菜市场购物的居民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核心问题/变量：改造后体验（电子秤/溯源/支付）、价格感知、vs超市对比、烟火气保留评价、满意度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H1：改造后体验（电子秤/溯源/支付）、价格感知显著影响满意度（待验证）；H2：不同人群（年龄/收入/城市等级）在上述关系中存在调节作用（待验证）。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🔶菜市场改造（"十四五"城市一刻钟便民生活圈建设背景）；✅智慧零售/数字化改造政策；✅农贸市场升级案例（媒体）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智慧菜市场现场问卷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🔶菜市场改造（"十四五"城市一刻钟便民生活圈建设背景）；✅智慧零售/数字化改造政策；✅农贸市场升级案例（媒体）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