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357. “社区生鲜柜，楼下提货”——社区智能生鲜柜、无接触提货服务消费研究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研究对象：使用过无人便利店/智能货柜（办公室/地铁/园区）的消费者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核心问题/变量：使用场景、支付体验、商品品类、丢损与信任、价格感知、使用频次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H1：使用场景、支付体验显著影响使用频次（待验证）；H2：不同人群（年龄/收入/城市等级）在上述关系中存在调节作用（待验证）。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🔶无人零售市场（行业报告需核验）；✅即时零售1万亿（第三批已核验）；✅无人配送车6.8万台（第八轮证据）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无人零售点位/白领办公渠道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🔶无人零售市场（行业报告需核验）；✅即时零售1万亿（第三批已核验）；✅无人配送车6.8万台（第八轮证据）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