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358. “邻里中心，一刻钟生活圈”——社区商业综合体（邻里中心）消费需求研究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建议地区：上海（可按省/市细化抽样框）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研究对象：入住有邻里中心/社区商业体的居民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核心问题/变量：业态偏好（菜场/餐饮/托育/健身）、到访频次、消费支出、与商场对比、便利感知、需求缺口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H1：业态偏好（菜场/餐饮/托育/健身）、到访频次显著影响需求缺口（待验证）；H2：不同人群（年龄/收入/城市等级）在上述关系中存在调节作用（待验证）。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✅商务部一刻钟便民生活圈试点建设（政策背景）；🔶邻里中心模式（苏州/上海案例媒体）；✅社区餐饮1.2万亿（第五六轮证据）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邻里中心现场问卷；与59题（一刻钟便民圈）区分：聚焦商业体形态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✅商务部一刻钟便民生活圈试点建设（政策背景）；🔶邻里中心模式（苏州/上海案例媒体）；✅社区餐饮1.2万亿（第五六轮证据）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