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388. “便利店里的三餐”——精品便利店（鲜食、关东煮、便当）消费行为研究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研究对象：常买便利店鲜食的上班族/学生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核心问题/变量：购买品类（早餐/便当/咖啡）、单次消费、vs外卖对比、新品尝鲜、会员与折扣、满意度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H1：购买品类（早餐/便当/咖啡）、单次消费显著影响满意度（待验证）；H2：不同人群（年龄/收入/城市等级）在上述关系中存在调节作用（待验证）。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🔶便利店市场规模（中国连锁经营协会数据需下载）；✅即时零售1万亿（第三批已核验）；✅便利店鲜食化趋势（7-11/罗森/便利蜂案例）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便利店门店现场+白领渠道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🔶便利店市场规模（中国连锁经营协会数据需下载）；✅即时零售1万亿（第三批已核验）；✅便利店鲜食化趋势（7-11/罗森/便利蜂案例）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