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430. “代取快递，校园跑腿”——校园跑腿、代取快递服务需求研究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建议地区：乡村（可按省/市细化抽样框）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确定行业：07_零售商业与消费新形态（选择理由：贴合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研究对象：用过校园跑腿（代取快递/带饭/代课）的大学生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核心问题/变量：使用场景、单次价格、信任（私人物品）、服务评价、高峰期（双11）、支付意愿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H1：使用场景、单次价格显著影响支付意愿（待验证）；H2：不同人群（年龄/收入/城市等级）在上述关系中存在调节作用（待验证）。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🔶校园跑腿经济（媒体现象报道）；✅快递业务量破1600亿件（2025年，已核验）；✅大学生消费金融45%发展型支出（第九轮证据）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高校渠道（跑腿群）；贴近评委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🔶校园跑腿经济（媒体现象报道）；✅快递业务量破1600亿件（2025年，已核验）；✅大学生消费金融45%发展型支出（第九轮证据）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