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451. “海南买买买，免税购物热”——离岛免税购物消费行为研究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建议地区：海口（可按省/市细化抽样框）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研究对象：去过海南/口岸免税店购物的消费者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核心问题/变量：购物动机（价格/正品/囤货）、品类偏好（美妆/箱包/数码）、额度使用、购物方式（线下/线上预约）、满意度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H1：购物动机（价格/正品/囤货）、品类偏好（美妆/箱包/数码）显著影响满意度（待验证）；H2：不同人群（年龄/收入/城市等级）在上述关系中存在调节作用（待验证）。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✅2026上半年海南离岛免税购物金额199.2亿元（+18.8%）、购物人次279.3万（+12.6%）（海口海关/新华网）；✅2025年12月海南全岛封关运作后免税消费升温；✅海南离岛免税跃居全球第三大免税市场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免税店现场（三亚/海口）+线上问卷；现象前沿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✅2026上半年海南离岛免税购物金额199.2亿元（+18.8%）、购物人次279.3万（+12.6%）（海口海关/新华网）；✅2025年12月海南全岛封关运作后免税消费升温；✅海南离岛免税跃居全球第三大免税市场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