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454. “国货出海，跨境卖全球”——国货品牌出海、跨境电商创业意愿研究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研究对象：做跨境电商（亚马逊/TikTok Shop/独立站）的卖家或有意创业者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核心问题/变量：出海品类（3C/服饰/新消费）、平台选择、物流与合规痛点、利润空间、政策支持感知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H1：出海品类（3C/服饰/新消费）、平台选择显著影响政策支持感知（待验证）；H2：不同人群（年龄/收入/城市等级）在上述关系中存在调节作用（待验证）。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✅2026年跨境电商利好（跨关区退货4月推开、退货周期缩短近半）；✅"新三样"出口增长43.6%（热搜/海关数据）；🔶跨境电商进出口规模（商务部数据需核验）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跨境电商产业园/卖家社群渠道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✅2026年跨境电商利好（跨关区退货4月推开、退货周期缩短近半）；✅"新三样"出口增长43.6%（热搜/海关数据）；🔶跨境电商进出口规模（商务部数据需核验）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