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460. “商场里的运动场，体验经济”——商场运动业态（攀岩、射击、蹦床、冲浪模拟）消费研究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研究对象：在商场体验过新型运动业态（射击馆/蹦床/冲浪模拟）的消费者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核心问题/变量：体验动机（遛娃/约会/尝鲜）、单次价格接受、业态引流作用、复购与会员、与健身房对比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H1：体验动机（遛娃/约会/尝鲜）、单次价格接受显著影响与健身房对比（待验证）；H2：不同人群（年龄/收入/城市等级）在上述关系中存在调节作用（待验证）。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🔶商场运动业态"超级体验场"（行业观察媒体需核验）；✅攀岩/滑板/滑雪等入商场成引流利器（本批方向1证据）；✅文娱消费304亿可再生背景（第三批已核验）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商场运动业态门店现场问卷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🔶商场运动业态"超级体验场"（行业观察媒体需核验）；✅攀岩/滑板/滑雪等入商场成引流利器（本批方向1证据）；✅文娱消费304亿可再生背景（第三批已核验）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