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461. “预付卡里的坑”——预付式消费（健身、美容、教培）风险与维权研究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研究对象：办过预付卡（健身/美容/培训/洗车）的消费者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核心问题/变量：预付金额、使用率、遭遇跑路/退费难经历、维权渠道知晓、新规（预付式消费监管办法）知晓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H1：预付金额、使用率显著影响新规（预付式消费监管办法）知晓（待验证）；H2：不同人群（年龄/收入/城市等级）在上述关系中存在调节作用（待验证）。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🔶预付式消费投诉（中消协年度报告需下载）；✅《消费者权益保护法实施条例》预付式消费规定（2024年施行背景）；✅单用途预付卡管理办法（商务部）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线上问卷+消协渠道；民生痛点强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🔶预付式消费投诉（中消协年度报告需下载）；✅《消费者权益保护法实施条例》预付式消费规定（2024年施行背景）；✅单用途预付卡管理办法（商务部）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