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463. “七天无理由，退还是换”——网购退货行为与平台规则体验研究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研究对象：有网购退货（7天无理由/运费险）经历的消费者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核心问题/变量：退货率、退货原因（尺码/色差/冲动）、退货体验（上门取件/审核）、运费险使用、商家与平台责任感知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H1：退货率、退货原因（尺码/色差/冲动）显著影响商家与平台责任感知（待验证）；H2：不同人群（年龄/收入/城市等级）在上述关系中存在调节作用（待验证）。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✅《网络购买商品七日无理由退货暂行办法》（市场监管总局）；🔶服饰类退货率（行业数据需核验）；✅"买家秀与卖家秀"消费吐槽（媒体背景）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电商用户线上问卷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✅《网络购买商品七日无理由退货暂行办法》（市场监管总局）；🔶服饰类退货率（行业数据需核验）；✅"买家秀与卖家秀"消费吐槽（媒体背景）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