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484. “AI 数字人主播，直播间新工种”——AI 主播带货的消费信任与接受度研究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研究对象：直播电商消费者、MCN 机构从业者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数字人主播带货信任度、购买意愿、与真人主播对比、AI 标识新规知晓与态度、平台监管期待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数字人主播带货信任度、购买意愿显著影响平台监管期待（待验证）；H2：不同人群（年龄/收入/城市等级）在上述关系中存在调节作用（待验证）。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 生成内容标识规定与直播新规（市场监管部门、网信办文件）；🔶AI 直播电商渗透数据（须下载核验）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直播间消费者问卷+机构访谈；与250（直播信任）区分：聚焦 AI 主播身份与标识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 生成内容标识规定与直播新规（市场监管部门、网信办文件）；🔶AI 直播电商渗透数据（须下载核验）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