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501. “刮刮乐，年轻人的快乐税”——即开型彩票与青年购彩消费行为研究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 岁购买过即开型彩票（刮刮乐）年轻人及未购彩观望者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核心问题/变量：购彩动机（娱乐/解压/暴富幻想）、单次与月度支出、自我控制（止损意识）、社交媒体开奖分享、对“彩票=智商税”争议认知、监管态度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H1：购彩动机（娱乐/解压/暴富幻想）、单次与月度支出显著影响监管态度（待验证）；H2：不同人群（年龄/收入/城市等级）在上述关系中存在调节作用（待验证）。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✅全国彩票销售数据（财政部、体彩/福彩官方）；✅即开型彩票销量增长报道（新华社/央视）；🔶购彩人群画像报告（须下载核验）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彩票门店渠道+小红书/抖音社群问卷；与408（理财）区分：聚焦即开型彩票消费心理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✅全国彩票销售数据（财政部、体彩/福彩官方）；✅即开型彩票销量增长报道（新华社/央视）；🔶购彩人群画像报告（须下载核验）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