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561. “无印风生活，极简新消费”——简约生活方式、极简主义消费研究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研究对象：推崇极简/无印风格生活方式的年轻人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核心问题/变量：极简生活动机（断舍离/环保/省钱）、简约家居与服饰消费、收纳整理消费、极简博主影响、与消费主义张力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H1：极简生活动机（断舍离/环保/省钱）、简约家居与服饰消费显著影响与消费主义张力（待验证）；H2：不同人群（年龄/收入/城市等级）在上述关系中存在调节作用（待验证）。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🔶极简生活方式消费报道（媒体须下载核验）；✅绿色生活方式政策（发改委）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生活方式社群问卷+整理师访谈；区别于363（二手交易）聚焦极简理念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🔶极简生活方式消费报道（媒体须下载核验）；✅绿色生活方式政策（发改委）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