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567. “无痕生活，零包装购物”——无包装、散称环保购物消费研究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研究对象：光顾无包装商店/自带容器购物的环保消费者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核心问题/变量：零包装购物动机（减塑/环保）、自带容器习惯、无包装店商品结构与价格、参与障碍（便利性）、可持续坚持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零包装购物动机（减塑/环保）、自带容器习惯（可持续坚持）之间存在可检验的关系，且受群体差异（年龄/收入/地区/身份）调节（待验证）；H2：零包装购物动机（减塑/环保）、自带容器习惯是影响可持续坚持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🔶无包装商店案例（环保媒体须下载核验）；✅塑料污染治理政策（发改委、生态环境部）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无包装商店渠道问卷+店主访谈；区别于365（减塑行为）聚焦零售形态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🔶无包装商店案例（环保媒体须下载核验）；✅塑料污染治理政策（发改委、生态环境部）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