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569. “二手奢侈品，理性入圈”——二手奢侈品交易消费研究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研究对象：购买二手奢侈品（包/表/首饰）的消费者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核心问题/变量：二手奢品购买动机（性价比/环保/收藏）、验真信任与平台选择、转卖习惯、价格保值认知、与专柜对比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H1：二手奢品购买动机（性价比/环保/收藏）、验真信任与平台选择显著影响与专柜对比（待验证）；H2：不同人群（年龄/收入/城市等级）在上述关系中存在调节作用（待验证）。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🔶二手奢侈品市场规模（行业报告须下载核验）；✅奢侈品鉴定与消费保护规范（消协）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二手奢品平台社群问卷+鉴定师访谈；区别于070（二手机）聚焦奢品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🔶二手奢侈品市场规模（行业报告须下载核验）；✅奢侈品鉴定与消费保护规范（消协）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