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615. “买手店淘货，小众审美”——买手店、集合店消费体验研究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研究对象：在买手店/设计集合店购物的青年消费者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核心问题/变量：买手店光顾动机（小众/独特/潮流）、选品溢价接受、与品牌店/电商对比、主理人IP影响、复购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H1：买手店光顾动机（小众/独特/潮流）、选品溢价接受显著影响复购（待验证）；H2：不同人群（年龄/收入/城市等级）在上述关系中存在调节作用（待验证）。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🔶买手店业态报道（时尚媒体须下载核验）；✅零售创新政策（商务部）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买手店实地问卷+主理人访谈；获奖黑名单核对：近三年无买手店获奖题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🔶买手店业态报道（时尚媒体须下载核验）；✅零售创新政策（商务部）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