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673. “百货大楼改造，老商场焕新”——传统百货改造为体验式商场消费研究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研究对象：逛改造后老百货/老商场的消费者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核心问题/变量：改造后重逛动机（怀旧/新业态）、业态变化（餐饮/策展/潮牌）、与购物中心对比、老字号情怀、消费意愿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H1：改造后重逛动机（怀旧/新业态）、业态变化（餐饮/策展/潮牌）显著影响消费意愿（待验证）；H2：不同人群（年龄/收入/城市等级）在上述关系中存在调节作用（待验证）。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🔶百货改造案例报道（商业媒体须下载核验）；✅城市商业更新政策（商务部）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改造商场实地问卷+运营方访谈；获奖黑名单核对：近三年无老百货改造获奖题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🔶百货改造案例报道（商业媒体须下载核验）；✅城市商业更新政策（商务部）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