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067. “即时零售，即刻满足”——城市居民即时零售（外卖、30分钟达）使用行为与满意度研究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研究阶段：mature（成熟期：满意度与优化研究）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研究对象：近半年使用过即时零售平台（美团闪购/京东到家/饿了么等）的消费者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核心问题/变量：时效感知、品类覆盖、使用频率、满意度、复购意愿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H1：时效感知、品类覆盖显著影响复购意愿（待验证）；H2：不同人群（年龄/收入/城市等级）在上述关系中存在调节作用（待验证）。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✅商务部研究院《即时零售行业发展报告(2025)》：2026年市场规模将突破1万亿元、2030年有望达2万亿元；✅2024年约7810亿元（+20.15%）、2025年达11936亿元（+48.3%）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线上问卷+平台用户社群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✅商务部研究院《即时零售行业发展报告(2025)》：2026年市场规模将突破1万亿元、2030年有望达2万亿元；✅2024年约7810亿元（+20.15%）、2025年达11936亿元（+48.3%）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