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068. “硬折扣店，质价比革命”——消费者硬折扣、零食量贩店购物行为与忠诚度研究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研究对象：去过硬折扣店（奥乐齐/盒马奥莱/零食很忙/赵一鸣等）的消费者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核心问题/变量：价格感知、自有品牌接受度、购物频率、单次金额、忠诚度、复购意愿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H1：价格感知、自有品牌接受度显著影响复购意愿（待验证）；H2：不同人群（年龄/收入/城市等级）在上述关系中存在调节作用（待验证）。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✅硬折扣店2026年市场规模预计突破1.1万亿元、二三线城市门店占比达58%、渗透率约8%（智研咨询）；✅折扣零售2025年整体约2.28万亿元（2022—2025年复合增速11.0%）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门店消费后拦截+线上社群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✅硬折扣店2026年市场规模预计突破1.1万亿元、二三线城市门店占比达58%、渗透率约8%（智研咨询）；✅折扣零售2025年整体约2.28万亿元（2022—2025年复合增速11.0%）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