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069. “仓储会员店，囤货新潮”——仓储会员店入会意愿与续费行为研究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研究对象：山姆/Costco/盒马X会员店消费者及潜在人群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核心问题/变量：会员费接受度、大包装偏好、价值感知、续费意愿、替代渠道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H1：会员费接受度、大包装偏好显著影响替代渠道（待验证）；H2：不同人群（年龄/收入/城市等级）在上述关系中存在调节作用（待验证）。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✅山姆2025年全渠道销售额突破1400亿元（同比约+40%）、付费会员超1070万，2026年7月全国门店68家、全年计划新开13家；✅仓储会员店零售额增速超20%（一季度限额以上口径）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门店/社区代购社群渠道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✅山姆2025年全渠道销售额突破1400亿元（同比约+40%）、付费会员超1070万，2026年7月全国门店68家、全年计划新开13家；✅仓储会员店零售额增速超20%（一季度限额以上口径）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