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071. “自有品牌，平替突围”——商超自有品牌产品接受度与购买意愿研究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研究对象：购买过商超自有品牌（盒马/永辉/山姆Member's Mark等）的消费者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核心问题/变量：品牌认知、质价比感知、信任、购买意愿、替代大牌意愿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H1：品牌认知、质价比感知显著影响替代大牌意愿（待验证）；H2：不同人群（年龄/收入/城市等级）在上述关系中存在调节作用（待验证）。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🔶尼尔森IQ《2026中国消费零售市场十大关键趋势报告》：自有品牌增速数据（待核验原文）；✅2026中国消费零售关键趋势：折扣化、即时零售、自有品牌突围（拓端数据 2026-08）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超市购物后拦截+线上问卷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🔶尼尔森IQ《2026中国消费零售市场十大关键趋势报告》：自有品牌增速数据（待核验原文）；✅2026中国消费零售关键趋势：折扣化、即时零售、自有品牌突围（拓端数据 2026-08）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