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736. “供销社回归，老店新开”——供销社网点改造与乡村零售消费研究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研究对象：光顾改造后供销社/为农服务中心的村民与市民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核心问题/变量：供销社回归认知（怀旧/实惠）、经营内容（农资/日用品/快递）、价格与质量、服务三农功能、年轻客群吸引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供销社回归认知（怀旧/实惠）、经营内容（农资/日用品/快递）（年轻客群吸引）之间存在可检验的关系，且受群体差异（年龄/收入/地区/身份）调节（待验证）；H2：供销社回归认知（怀旧/实惠）、经营内容（农资/日用品/快递）是影响年轻客群吸引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🔶供销社改革报道（央媒须下载核验）；✅供销合作社改革政策（国务院）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供销社网点实地问卷+负责人访谈；获奖黑名单核对：近三年无供销社获奖题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🔶供销社改革报道（央媒须下载核验）；✅供销合作社改革政策（国务院）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