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792. “老字号焕新，国潮再出发”——老字号品牌焕新（跨界、直播）消费研究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研究对象：因焕新动作（联名/新包装/直播）重新关注老字号的消费者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核心问题/变量：老字号焕新认知（跨界/数字化）、重新购买动机（情怀/颜值）、新品试水、与新兴品牌对比、品牌年轻化评价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H1：老字号焕新认知（跨界/数字化）、重新购买动机（情怀/颜值）显著影响品牌年轻化评价（待验证）；H2：不同人群（年龄/收入/城市等级）在上述关系中存在调节作用（待验证）。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🔶老字号创新案例报道（央媒须下载核验）；✅老字号促进政策（商务部）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老字号门店/直播渠道问卷；获奖黑名单核对：近三年无老字号焕新获奖题（区别于396-398清理老字号）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🔶老字号创新案例报道（央媒须下载核验）；✅老字号促进政策（商务部）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