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840. “旧书店淘书，纸质阅读复兴”——旧书店（二手书）淘书消费研究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topic-selection 规范版（呆塔大师兄（微信：a237658765））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项目类型：市场调查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研究阶段：early-mid（萌芽—成长期：需求与机会挖掘 + 意愿初探）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建议地区：全国（可落地为任一代表性城市/县域，按当地资源细化抽样）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确定行业：07_零售商业与消费新形态（选择理由：贴合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研究对象：逛旧书店/线上二手书（孔夫子/多抓鱼）的读者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核心问题/变量：淘书动机（低价/绝版/纸质情怀）、旧书店探店、线上二手书平台（循环）、回收卖书、纸质阅读复兴感知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H1：淘书动机（低价/绝版/纸质情怀）、旧书店探店显著影响纸质阅读复兴感知（待验证）；H2：不同人群（年龄/收入/城市等级）在上述关系中存在调节作用（待验证）。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🔶旧书业复兴报道（媒体须下载核验）；✅全民阅读促进政策（中宣部）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旧书店实地问卷+店主访谈；获奖黑名单核对：近三年无旧书店获奖题（区别于143城市漫步书店）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🔶旧书业复兴报道（媒体须下载核验）；✅全民阅读促进政策（中宣部）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