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884. “国货美妆出海，口红外交”——国货美妆（彩妆、护肤）出海消费研究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研究对象：购买中国美妆品牌（海外）的消费者、出口企业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核心问题/变量：国货美妆出海目的地（东南亚/欧美）、海外定价（国内1.5-2倍）、本地审美适配、海外渠道（TikTok Shop）、品牌力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H1：国货美妆出海目的地（东南亚/欧美）、海外定价（国内1.5-2倍）显著影响品牌力（待验证）；H2：不同人群（年龄/收入/城市等级）在上述关系中存在调节作用（待验证）。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🔶国货美妆出海数据（行业报告须下载核验）；✅国货消费与出海政策（商务部）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出海品牌访谈+海外消费者问卷；获奖黑名单核对：近三年无美妆出海获奖题（区别于679茶饮出海）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🔶国货美妆出海数据（行业报告须下载核验）；✅国货消费与出海政策（商务部）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