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955. “无人值守彩票店，自助刮刮乐”——彩票自助销售（无人店、在线）消费研究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研究对象：购买彩票（刮刮乐/自助终端）的年轻人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核心问题/变量：彩票消费动机（娱乐/暴富心理）、自助终端（无人店）体验、人均购彩金额、未成年购彩拦截、理性购彩认知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H1：彩票消费动机（娱乐/暴富心理）、自助终端（无人店）体验显著影响理性购彩认知（待验证）；H2：不同人群（年龄/收入/城市等级）在上述关系中存在调节作用（待验证）。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🔶彩票管理条例与渠道规范（财政部、民政部/体育总局）；🔶彩票销量数据（须下载核验）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自助终端网点问卷+体彩中心访谈；获奖黑名单核对：近三年无彩票自助销售获奖题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🔶彩票管理条例与渠道规范（财政部、民政部/体育总局）；🔶彩票销量数据（须下载核验）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